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77" w:rsidRDefault="00BC32E5" w:rsidP="006B185C">
      <w:pPr>
        <w:spacing w:before="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286500" cy="0"/>
                <wp:effectExtent l="8890" t="8255" r="1016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CD7A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" strokecolor="red" strokeweight="1pt"/>
            </w:pict>
          </mc:Fallback>
        </mc:AlternateContent>
      </w:r>
    </w:p>
    <w:p w:rsidR="00260477" w:rsidRPr="00CE0677" w:rsidRDefault="00FB7CB6" w:rsidP="006B185C">
      <w:pPr>
        <w:rPr>
          <w:sz w:val="16"/>
          <w:szCs w:val="16"/>
        </w:rPr>
      </w:pPr>
      <w:r w:rsidRPr="00760914">
        <w:rPr>
          <w:sz w:val="20"/>
          <w:szCs w:val="20"/>
        </w:rPr>
        <w:t>D</w:t>
      </w:r>
      <w:r w:rsidR="00260477" w:rsidRPr="00760914">
        <w:rPr>
          <w:sz w:val="20"/>
          <w:szCs w:val="20"/>
        </w:rPr>
        <w:t xml:space="preserve">r hab. inż. </w:t>
      </w:r>
      <w:r w:rsidR="00CE536B" w:rsidRPr="00760914">
        <w:rPr>
          <w:sz w:val="20"/>
          <w:szCs w:val="20"/>
        </w:rPr>
        <w:t xml:space="preserve">Paweł </w:t>
      </w:r>
      <w:proofErr w:type="spellStart"/>
      <w:r w:rsidR="00CE536B" w:rsidRPr="00760914">
        <w:rPr>
          <w:sz w:val="20"/>
          <w:szCs w:val="20"/>
        </w:rPr>
        <w:t>Droździel</w:t>
      </w:r>
      <w:proofErr w:type="spellEnd"/>
      <w:r w:rsidR="00CE536B" w:rsidRPr="00760914">
        <w:rPr>
          <w:sz w:val="20"/>
          <w:szCs w:val="20"/>
        </w:rPr>
        <w:t xml:space="preserve">, </w:t>
      </w:r>
      <w:r w:rsidR="00760914" w:rsidRPr="00760914">
        <w:rPr>
          <w:sz w:val="20"/>
          <w:szCs w:val="20"/>
        </w:rPr>
        <w:t xml:space="preserve">prof. </w:t>
      </w:r>
      <w:r w:rsidR="0050741F">
        <w:rPr>
          <w:sz w:val="20"/>
          <w:szCs w:val="20"/>
        </w:rPr>
        <w:t>Uczelni</w:t>
      </w:r>
      <w:r w:rsidR="00260477" w:rsidRPr="00760914">
        <w:rPr>
          <w:sz w:val="20"/>
          <w:szCs w:val="20"/>
        </w:rPr>
        <w:tab/>
      </w:r>
    </w:p>
    <w:p w:rsidR="00260477" w:rsidRPr="00EC3E31" w:rsidRDefault="00AE1CDD" w:rsidP="006B185C">
      <w:pPr>
        <w:pStyle w:val="Nagwek"/>
        <w:tabs>
          <w:tab w:val="clear" w:pos="4536"/>
          <w:tab w:val="clear" w:pos="9072"/>
          <w:tab w:val="left" w:pos="6330"/>
        </w:tabs>
        <w:spacing w:line="320" w:lineRule="exact"/>
        <w:rPr>
          <w:rFonts w:ascii="Book Antiqua" w:hAnsi="Book Antiqua"/>
          <w:b/>
          <w:sz w:val="20"/>
          <w:szCs w:val="20"/>
        </w:rPr>
      </w:pPr>
      <w:r w:rsidRPr="00760914">
        <w:rPr>
          <w:sz w:val="20"/>
          <w:szCs w:val="20"/>
        </w:rPr>
        <w:t>Prorektor ds. Studenckich</w:t>
      </w:r>
    </w:p>
    <w:p w:rsidR="00D06C76" w:rsidRDefault="00D06C76" w:rsidP="006B185C">
      <w:pPr>
        <w:spacing w:line="276" w:lineRule="auto"/>
      </w:pPr>
    </w:p>
    <w:p w:rsidR="00D06C76" w:rsidRPr="00D4013A" w:rsidRDefault="00D06C76" w:rsidP="000B7B1E">
      <w:pPr>
        <w:spacing w:line="276" w:lineRule="auto"/>
        <w:jc w:val="center"/>
      </w:pPr>
      <w:r w:rsidRPr="00D4013A">
        <w:t>Niniejszym ogłaszam uczelniane zasady realizacji wy</w:t>
      </w:r>
      <w:r w:rsidR="0050741F">
        <w:t>jazdów stypendialnych – wyjazdy na praktyki w </w:t>
      </w:r>
      <w:r w:rsidRPr="00D4013A">
        <w:t>ramach programu Erasmus+:</w:t>
      </w:r>
    </w:p>
    <w:p w:rsidR="00D06C76" w:rsidRPr="00D4013A" w:rsidRDefault="00D06C76" w:rsidP="006B185C">
      <w:pPr>
        <w:spacing w:line="276" w:lineRule="auto"/>
      </w:pPr>
    </w:p>
    <w:p w:rsidR="00D06C76" w:rsidRPr="00D4013A" w:rsidRDefault="00D06C76" w:rsidP="006B185C">
      <w:pPr>
        <w:spacing w:line="276" w:lineRule="auto"/>
        <w:jc w:val="center"/>
        <w:rPr>
          <w:b/>
        </w:rPr>
      </w:pPr>
      <w:r w:rsidRPr="00D4013A">
        <w:rPr>
          <w:b/>
        </w:rPr>
        <w:t>UCZELNIANE ZASADY REALIZACJI WYJAZDÓW STYPENDIALNYCH</w:t>
      </w:r>
    </w:p>
    <w:p w:rsidR="00D06C76" w:rsidRPr="00D4013A" w:rsidRDefault="00D06C76" w:rsidP="006B185C">
      <w:pPr>
        <w:spacing w:line="276" w:lineRule="auto"/>
        <w:jc w:val="center"/>
        <w:rPr>
          <w:b/>
        </w:rPr>
      </w:pPr>
      <w:r w:rsidRPr="00D4013A">
        <w:rPr>
          <w:b/>
        </w:rPr>
        <w:t>– WYJAZDY NA PRAKTYKI –</w:t>
      </w:r>
    </w:p>
    <w:p w:rsidR="00D06C76" w:rsidRPr="00D4013A" w:rsidRDefault="00D06C76" w:rsidP="006B185C">
      <w:pPr>
        <w:spacing w:line="276" w:lineRule="auto"/>
        <w:jc w:val="center"/>
        <w:rPr>
          <w:b/>
        </w:rPr>
      </w:pPr>
      <w:r w:rsidRPr="00D4013A">
        <w:rPr>
          <w:b/>
        </w:rPr>
        <w:t>W RAMACH PROGRAMU ERASMUS+ OBOWIĄZUJĄCE</w:t>
      </w:r>
    </w:p>
    <w:p w:rsidR="000B7B1E" w:rsidRPr="000B7B1E" w:rsidRDefault="000B7B1E" w:rsidP="000B7B1E">
      <w:pPr>
        <w:spacing w:before="60" w:line="276" w:lineRule="auto"/>
        <w:jc w:val="center"/>
        <w:rPr>
          <w:b/>
        </w:rPr>
      </w:pPr>
      <w:r w:rsidRPr="000B7B1E">
        <w:rPr>
          <w:b/>
        </w:rPr>
        <w:t>DLA PROJEKTU nr 2020-1-PL01-KA103-078196</w:t>
      </w:r>
    </w:p>
    <w:p w:rsidR="00D06C76" w:rsidRDefault="000B7B1E" w:rsidP="000B7B1E">
      <w:pPr>
        <w:spacing w:before="60" w:line="276" w:lineRule="auto"/>
        <w:jc w:val="center"/>
        <w:rPr>
          <w:b/>
        </w:rPr>
      </w:pPr>
      <w:r w:rsidRPr="000B7B1E">
        <w:rPr>
          <w:b/>
        </w:rPr>
        <w:t>(01.06.2020-31.05.2023)</w:t>
      </w:r>
    </w:p>
    <w:p w:rsidR="004E4F1B" w:rsidRPr="00D4013A" w:rsidRDefault="004E4F1B" w:rsidP="006B185C">
      <w:pPr>
        <w:spacing w:before="60" w:line="276" w:lineRule="auto"/>
        <w:jc w:val="center"/>
        <w:rPr>
          <w:b/>
        </w:rPr>
      </w:pP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3" w:hanging="357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 xml:space="preserve">Praktyka może być realizowana w instytucji szkolnictwa wyższego z kraju programu posiadającej Kartę Erasmusa dla Szkolnictwa Wyższego (Erasmus Charter for </w:t>
      </w:r>
      <w:proofErr w:type="spellStart"/>
      <w:r w:rsidRPr="00D4013A">
        <w:rPr>
          <w:rFonts w:eastAsia="Calibri"/>
          <w:lang w:eastAsia="en-US"/>
        </w:rPr>
        <w:t>Higher</w:t>
      </w:r>
      <w:proofErr w:type="spellEnd"/>
      <w:r w:rsidRPr="00D4013A">
        <w:rPr>
          <w:rFonts w:eastAsia="Calibri"/>
          <w:lang w:eastAsia="en-US"/>
        </w:rPr>
        <w:t xml:space="preserve"> </w:t>
      </w:r>
      <w:proofErr w:type="spellStart"/>
      <w:r w:rsidRPr="00D4013A">
        <w:rPr>
          <w:rFonts w:eastAsia="Calibri"/>
          <w:lang w:eastAsia="en-US"/>
        </w:rPr>
        <w:t>Education</w:t>
      </w:r>
      <w:proofErr w:type="spellEnd"/>
      <w:r w:rsidRPr="00D4013A">
        <w:rPr>
          <w:rFonts w:eastAsia="Calibri"/>
          <w:lang w:eastAsia="en-US"/>
        </w:rPr>
        <w:t xml:space="preserve"> – ECHE)  lub każdej publicznej lub prywatnej organizacji prowadzącej działalność na rynku pracy lub w dziedzinie kształcenia, szkolenia i na rzecz młodzieży, organizacji niekomercyjnej, stowarzyszeniu, organizacji pozarządowej.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Praktyka nie może być realizowana w:</w:t>
      </w:r>
    </w:p>
    <w:p w:rsidR="00D06C76" w:rsidRPr="00D4013A" w:rsidRDefault="00D06C76" w:rsidP="006B185C">
      <w:pPr>
        <w:spacing w:before="120" w:after="120" w:line="276" w:lineRule="auto"/>
        <w:ind w:left="284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- instytucjach UE i innych organach UE, w tym wyspecjalizowanych agencjach (wyczerpujący wykaz tych instytucji jest dostępny na stronie</w:t>
      </w:r>
      <w:r>
        <w:rPr>
          <w:rFonts w:eastAsia="Calibri"/>
          <w:lang w:eastAsia="en-US"/>
        </w:rPr>
        <w:t>:</w:t>
      </w:r>
      <w:r w:rsidRPr="00D4013A">
        <w:rPr>
          <w:rFonts w:eastAsia="Calibri"/>
          <w:lang w:eastAsia="en-US"/>
        </w:rPr>
        <w:t xml:space="preserve"> </w:t>
      </w:r>
      <w:hyperlink r:id="rId8" w:history="1">
        <w:r w:rsidRPr="00D4013A">
          <w:rPr>
            <w:rFonts w:eastAsia="Calibri"/>
            <w:color w:val="0000FF"/>
            <w:u w:val="single"/>
            <w:lang w:eastAsia="en-US"/>
          </w:rPr>
          <w:t>http://europa.eu/about-eu/institutions-bodies/index_pl.htm</w:t>
        </w:r>
      </w:hyperlink>
      <w:r w:rsidRPr="00D4013A">
        <w:rPr>
          <w:rFonts w:eastAsia="Calibri"/>
          <w:lang w:eastAsia="en-US"/>
        </w:rPr>
        <w:t>);</w:t>
      </w:r>
    </w:p>
    <w:p w:rsidR="006B185C" w:rsidRPr="00D4013A" w:rsidRDefault="00D06C76" w:rsidP="006B185C">
      <w:p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- organizacjach zarządzających programami UE takich jak agencje narodowe (w celu uniknięcia ewentualnego konfliktu interesów lub podwójnego finansowania).</w:t>
      </w:r>
    </w:p>
    <w:p w:rsidR="006B185C" w:rsidRDefault="006B185C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Uczęszczanie na zajęcia w instytucji szkolnictwa wyższego nie może być uznane za praktykę.</w:t>
      </w:r>
    </w:p>
    <w:p w:rsidR="00D06C76" w:rsidRPr="00650DAE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650DAE">
        <w:rPr>
          <w:rFonts w:eastAsia="Calibri"/>
          <w:lang w:eastAsia="en-US"/>
        </w:rPr>
        <w:t>Praktyka studencka musi rozpocząć się i zakończy</w:t>
      </w:r>
      <w:r w:rsidR="00A662DA" w:rsidRPr="00650DAE">
        <w:rPr>
          <w:rFonts w:eastAsia="Calibri"/>
          <w:lang w:eastAsia="en-US"/>
        </w:rPr>
        <w:t>ć w okresie miedzy 1 lipca 20</w:t>
      </w:r>
      <w:r w:rsidR="009314A1" w:rsidRPr="00650DAE">
        <w:rPr>
          <w:rFonts w:eastAsia="Calibri"/>
          <w:lang w:eastAsia="en-US"/>
        </w:rPr>
        <w:t>21</w:t>
      </w:r>
      <w:r w:rsidRPr="00650DAE">
        <w:rPr>
          <w:rFonts w:eastAsia="Calibri"/>
          <w:lang w:eastAsia="en-US"/>
        </w:rPr>
        <w:t>r. a 10 wr</w:t>
      </w:r>
      <w:r w:rsidR="00A662DA" w:rsidRPr="00650DAE">
        <w:rPr>
          <w:rFonts w:eastAsia="Calibri"/>
          <w:lang w:eastAsia="en-US"/>
        </w:rPr>
        <w:t>ześnia 20</w:t>
      </w:r>
      <w:r w:rsidR="009314A1" w:rsidRPr="00650DAE">
        <w:rPr>
          <w:rFonts w:eastAsia="Calibri"/>
          <w:lang w:eastAsia="en-US"/>
        </w:rPr>
        <w:t>22</w:t>
      </w:r>
      <w:r w:rsidRPr="00650DAE">
        <w:rPr>
          <w:rFonts w:eastAsia="Calibri"/>
          <w:lang w:eastAsia="en-US"/>
        </w:rPr>
        <w:t>r. W wyjątkowych przypadkach, na pisemny wniosek studenta skierowany do prorektora ds. studenckich, praktyka może zakończyć się międz</w:t>
      </w:r>
      <w:r w:rsidR="00A662DA" w:rsidRPr="00650DAE">
        <w:rPr>
          <w:rFonts w:eastAsia="Calibri"/>
          <w:lang w:eastAsia="en-US"/>
        </w:rPr>
        <w:t>y 11 września a 30 września 20</w:t>
      </w:r>
      <w:r w:rsidR="009314A1" w:rsidRPr="00650DAE">
        <w:rPr>
          <w:rFonts w:eastAsia="Calibri"/>
          <w:lang w:eastAsia="en-US"/>
        </w:rPr>
        <w:t>22</w:t>
      </w:r>
      <w:r w:rsidRPr="00650DAE">
        <w:rPr>
          <w:rFonts w:eastAsia="Calibri"/>
          <w:lang w:eastAsia="en-US"/>
        </w:rPr>
        <w:t>r.</w:t>
      </w:r>
      <w:r w:rsidRPr="00650DAE">
        <w:t xml:space="preserve"> W przypadku szczególnych wymagań stawianych przez instytucję przyjmującą, na wniosek studenta prorektor ds. studenckich może wyrazić zgodę na odbycie praktyki po 30 września</w:t>
      </w:r>
      <w:r w:rsidR="00A662DA" w:rsidRPr="00650DAE">
        <w:t xml:space="preserve"> 20</w:t>
      </w:r>
      <w:r w:rsidR="009314A1" w:rsidRPr="00650DAE">
        <w:t>22</w:t>
      </w:r>
      <w:r w:rsidRPr="00650DAE">
        <w:t xml:space="preserve">r. </w:t>
      </w:r>
      <w:r w:rsidRPr="00650DAE">
        <w:rPr>
          <w:rFonts w:eastAsia="Calibri"/>
          <w:lang w:eastAsia="en-US"/>
        </w:rPr>
        <w:t xml:space="preserve"> </w:t>
      </w:r>
    </w:p>
    <w:p w:rsidR="00D06C76" w:rsidRPr="00650DAE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650DAE">
        <w:rPr>
          <w:rFonts w:eastAsia="Calibri"/>
          <w:lang w:eastAsia="en-US"/>
        </w:rPr>
        <w:t>Praktyka absolwencka musi rozpocząć się i zakończyć  w ciągu 12 miesięcy od daty ukończenia studiów zgodnie z Regulaminem Studiów, jednak nie może zakończyć się p</w:t>
      </w:r>
      <w:r w:rsidR="00A662DA" w:rsidRPr="00650DAE">
        <w:rPr>
          <w:rFonts w:eastAsia="Calibri"/>
          <w:lang w:eastAsia="en-US"/>
        </w:rPr>
        <w:t>óźniej niż 10 września 20</w:t>
      </w:r>
      <w:r w:rsidR="009314A1" w:rsidRPr="00650DAE">
        <w:rPr>
          <w:rFonts w:eastAsia="Calibri"/>
          <w:lang w:eastAsia="en-US"/>
        </w:rPr>
        <w:t>22</w:t>
      </w:r>
      <w:r w:rsidRPr="00650DAE">
        <w:rPr>
          <w:rFonts w:eastAsia="Calibri"/>
          <w:lang w:eastAsia="en-US"/>
        </w:rPr>
        <w:t>r. W wyjątkowych przypadkach, na pisemny wniosek absolwenta skierowany do prorektora ds. studenckich, praktyka absolwencka może zakończyć się między 11 września</w:t>
      </w:r>
      <w:r w:rsidR="00A662DA" w:rsidRPr="00650DAE">
        <w:rPr>
          <w:rFonts w:eastAsia="Calibri"/>
          <w:lang w:eastAsia="en-US"/>
        </w:rPr>
        <w:t xml:space="preserve"> a 30 września 20</w:t>
      </w:r>
      <w:r w:rsidR="009314A1" w:rsidRPr="00650DAE">
        <w:rPr>
          <w:rFonts w:eastAsia="Calibri"/>
          <w:lang w:eastAsia="en-US"/>
        </w:rPr>
        <w:t>22</w:t>
      </w:r>
      <w:r w:rsidRPr="00650DAE">
        <w:rPr>
          <w:rFonts w:eastAsia="Calibri"/>
          <w:lang w:eastAsia="en-US"/>
        </w:rPr>
        <w:t>r.</w:t>
      </w:r>
      <w:r w:rsidRPr="00650DAE">
        <w:t xml:space="preserve"> W przypadku szczególnych wymagań stawianych przez instytucję przyjmującą, na wniosek studenta prorektor ds. studenckich może wyrazić zgodę na odbycie praktyki po 30 września</w:t>
      </w:r>
      <w:r w:rsidR="00A662DA" w:rsidRPr="00650DAE">
        <w:t xml:space="preserve"> 20</w:t>
      </w:r>
      <w:r w:rsidR="009314A1" w:rsidRPr="00650DAE">
        <w:t>22</w:t>
      </w:r>
      <w:r w:rsidRPr="00650DAE">
        <w:t xml:space="preserve">r. </w:t>
      </w:r>
      <w:r w:rsidRPr="00650DAE">
        <w:rPr>
          <w:rFonts w:eastAsia="Calibri"/>
          <w:lang w:eastAsia="en-US"/>
        </w:rPr>
        <w:t xml:space="preserve"> 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Pobyt studenta/uczestnika studiów doktoranckich/absolwenta (dalej zwanego „uczestnikiem”) w instytucji przyjmującej trwa od 2 do 12 miesięcy. Miesiąc liczony jes</w:t>
      </w:r>
      <w:bookmarkStart w:id="0" w:name="_GoBack"/>
      <w:bookmarkEnd w:id="0"/>
      <w:r w:rsidRPr="00D4013A">
        <w:rPr>
          <w:rFonts w:eastAsia="Calibri"/>
          <w:lang w:eastAsia="en-US"/>
        </w:rPr>
        <w:t>t jako 30 dni.</w:t>
      </w:r>
    </w:p>
    <w:p w:rsidR="00D06C76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 xml:space="preserve">Po zakończeniu kwalifikacji na wyjazdy na praktyki w ramach programu Erasmus+ w poszczególnych wydziałach Politechniki Lubelskiej i ogłoszeniu wyników, zakwalifikowany uczestnik niezwłocznie </w:t>
      </w:r>
      <w:r w:rsidRPr="00D4013A">
        <w:rPr>
          <w:rFonts w:eastAsia="Calibri"/>
          <w:lang w:eastAsia="en-US"/>
        </w:rPr>
        <w:lastRenderedPageBreak/>
        <w:t>zgłasza się do Biura Kształcenia Międzynarodowego PL (dalej BKM) w celu omówienia dalszej procedury i przygotowania pozostałych dokumentów koniecznych do otrzymania stypendium.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Uczestnik zobowiązany jest do podania </w:t>
      </w:r>
      <w:r w:rsidR="0050741F">
        <w:rPr>
          <w:rFonts w:eastAsia="Calibri"/>
          <w:lang w:eastAsia="en-US"/>
        </w:rPr>
        <w:t xml:space="preserve">aktualnego </w:t>
      </w:r>
      <w:r>
        <w:rPr>
          <w:rFonts w:eastAsia="Calibri"/>
          <w:lang w:eastAsia="en-US"/>
        </w:rPr>
        <w:t xml:space="preserve">adresu mailowego, którego część stanowi nazwisko uczestnika. 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W przypadku rezygnacji z przyznanego stypendium uczestnik zobowiązany jest niezwłocznie poinformować pisemnie o tym fakcie BKM i koordynatora wydziałowego</w:t>
      </w:r>
      <w:r>
        <w:rPr>
          <w:rFonts w:eastAsia="Calibri"/>
          <w:lang w:eastAsia="en-US"/>
        </w:rPr>
        <w:t xml:space="preserve"> ds</w:t>
      </w:r>
      <w:r w:rsidRPr="00D4013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wymiany międzynarodowej (dalej zwanego „koordynatorem”).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 xml:space="preserve">Dopuszcza się możliwość zmiany instytucji przyjmującej po </w:t>
      </w:r>
      <w:r>
        <w:rPr>
          <w:rFonts w:eastAsia="Calibri"/>
          <w:lang w:eastAsia="en-US"/>
        </w:rPr>
        <w:t>uzyskaniu kwalifikacji na wydziale</w:t>
      </w:r>
      <w:r w:rsidRPr="00D4013A">
        <w:rPr>
          <w:rFonts w:eastAsia="Calibri"/>
          <w:lang w:eastAsia="en-US"/>
        </w:rPr>
        <w:t xml:space="preserve">. Zmiany instytucji </w:t>
      </w:r>
      <w:r>
        <w:rPr>
          <w:rFonts w:eastAsia="Calibri"/>
          <w:lang w:eastAsia="en-US"/>
        </w:rPr>
        <w:t xml:space="preserve">przyjmującej </w:t>
      </w:r>
      <w:r w:rsidRPr="00D4013A">
        <w:rPr>
          <w:rFonts w:eastAsia="Calibri"/>
          <w:lang w:eastAsia="en-US"/>
        </w:rPr>
        <w:t xml:space="preserve">można dokonać wyłącznie w obrębie tej samej grupy krajów lub z grupy z wyższym stypendium do grupy z niższym stypendium. </w:t>
      </w:r>
      <w:r>
        <w:rPr>
          <w:rFonts w:eastAsia="Calibri"/>
          <w:lang w:eastAsia="en-US"/>
        </w:rPr>
        <w:t>W celu dokonania zmiany</w:t>
      </w:r>
      <w:r w:rsidRPr="00D4013A">
        <w:rPr>
          <w:rFonts w:eastAsia="Calibri"/>
          <w:lang w:eastAsia="en-US"/>
        </w:rPr>
        <w:t xml:space="preserve"> instytucji przyjmującej </w:t>
      </w:r>
      <w:r w:rsidR="0050741F">
        <w:rPr>
          <w:rFonts w:eastAsia="Calibri"/>
          <w:lang w:eastAsia="en-US"/>
        </w:rPr>
        <w:t>uczestnik sk</w:t>
      </w:r>
      <w:r>
        <w:rPr>
          <w:rFonts w:eastAsia="Calibri"/>
          <w:lang w:eastAsia="en-US"/>
        </w:rPr>
        <w:t>ła</w:t>
      </w:r>
      <w:r w:rsidR="0050741F">
        <w:rPr>
          <w:rFonts w:eastAsia="Calibri"/>
          <w:lang w:eastAsia="en-US"/>
        </w:rPr>
        <w:t>da</w:t>
      </w:r>
      <w:r>
        <w:rPr>
          <w:rFonts w:eastAsia="Calibri"/>
          <w:lang w:eastAsia="en-US"/>
        </w:rPr>
        <w:t xml:space="preserve"> podanie do Dziekana wydziału na którym studiuje</w:t>
      </w:r>
      <w:r w:rsidRPr="00D4013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Po uzyskaniu akceptacji Dziekana uczestnik niezwłocznie dostarcza podanie do BKM. </w:t>
      </w:r>
      <w:r w:rsidRPr="00D4013A">
        <w:rPr>
          <w:rFonts w:eastAsia="Calibri"/>
          <w:lang w:eastAsia="en-US"/>
        </w:rPr>
        <w:t xml:space="preserve">Zmiany instytucji </w:t>
      </w:r>
      <w:r>
        <w:rPr>
          <w:rFonts w:eastAsia="Calibri"/>
          <w:lang w:eastAsia="en-US"/>
        </w:rPr>
        <w:t xml:space="preserve">przyjmującej </w:t>
      </w:r>
      <w:r w:rsidRPr="00D4013A">
        <w:rPr>
          <w:rFonts w:eastAsia="Calibri"/>
          <w:lang w:eastAsia="en-US"/>
        </w:rPr>
        <w:t xml:space="preserve">można dokonać najpóźniej na 1 miesiąc przed planowanym terminem rozpoczęcia praktyki. 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Uczestnik zakwalifikowany przez wydział składa w BKM:</w:t>
      </w:r>
    </w:p>
    <w:p w:rsidR="00D06C76" w:rsidRPr="00D4013A" w:rsidRDefault="00D06C76" w:rsidP="006B185C">
      <w:pPr>
        <w:numPr>
          <w:ilvl w:val="0"/>
          <w:numId w:val="14"/>
        </w:numPr>
        <w:spacing w:before="120" w:after="120" w:line="276" w:lineRule="auto"/>
        <w:ind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 xml:space="preserve">Porozumienie o programie praktyk (Learning Agreement for </w:t>
      </w:r>
      <w:proofErr w:type="spellStart"/>
      <w:r w:rsidRPr="00D4013A">
        <w:rPr>
          <w:rFonts w:eastAsia="Calibri"/>
          <w:lang w:eastAsia="en-US"/>
        </w:rPr>
        <w:t>Traineeships</w:t>
      </w:r>
      <w:proofErr w:type="spellEnd"/>
      <w:r w:rsidRPr="00D4013A">
        <w:rPr>
          <w:rFonts w:eastAsia="Calibri"/>
          <w:lang w:eastAsia="en-US"/>
        </w:rPr>
        <w:t xml:space="preserve"> część </w:t>
      </w:r>
      <w:proofErr w:type="spellStart"/>
      <w:r w:rsidRPr="00D4013A">
        <w:rPr>
          <w:rFonts w:eastAsia="Calibri"/>
          <w:i/>
          <w:lang w:eastAsia="en-US"/>
        </w:rPr>
        <w:t>Before</w:t>
      </w:r>
      <w:proofErr w:type="spellEnd"/>
      <w:r w:rsidRPr="00D4013A">
        <w:rPr>
          <w:rFonts w:eastAsia="Calibri"/>
          <w:i/>
          <w:lang w:eastAsia="en-US"/>
        </w:rPr>
        <w:t xml:space="preserve"> the </w:t>
      </w:r>
      <w:proofErr w:type="spellStart"/>
      <w:r w:rsidRPr="00D4013A">
        <w:rPr>
          <w:rFonts w:eastAsia="Calibri"/>
          <w:i/>
          <w:lang w:eastAsia="en-US"/>
        </w:rPr>
        <w:t>Mobility</w:t>
      </w:r>
      <w:proofErr w:type="spellEnd"/>
      <w:r w:rsidRPr="00D4013A">
        <w:rPr>
          <w:rFonts w:eastAsia="Calibri"/>
          <w:lang w:eastAsia="en-US"/>
        </w:rPr>
        <w:t xml:space="preserve"> – dalej zwane LA) podpisane przez wszystkie strony;</w:t>
      </w:r>
    </w:p>
    <w:p w:rsidR="00D06C76" w:rsidRPr="00D4013A" w:rsidRDefault="00D06C76" w:rsidP="006B185C">
      <w:pPr>
        <w:numPr>
          <w:ilvl w:val="0"/>
          <w:numId w:val="14"/>
        </w:numPr>
        <w:spacing w:before="120" w:after="120" w:line="276" w:lineRule="auto"/>
        <w:ind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zaświadczenie z dziekanatu o statusie studenta (dotyczy wyjazdów realizowanych w trakcie studiów);</w:t>
      </w:r>
    </w:p>
    <w:p w:rsidR="00D06C76" w:rsidRPr="00D4013A" w:rsidRDefault="00D06C76" w:rsidP="006B185C">
      <w:pPr>
        <w:numPr>
          <w:ilvl w:val="0"/>
          <w:numId w:val="14"/>
        </w:numPr>
        <w:spacing w:before="120" w:after="120" w:line="276" w:lineRule="auto"/>
        <w:ind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zaświadczenie o ukończeniu studiów (dotyczy uczestników realizujących praktykę absolwencką);</w:t>
      </w:r>
    </w:p>
    <w:p w:rsidR="00D06C76" w:rsidRPr="00D4013A" w:rsidRDefault="00D06C76" w:rsidP="006B185C">
      <w:pPr>
        <w:numPr>
          <w:ilvl w:val="0"/>
          <w:numId w:val="14"/>
        </w:numPr>
        <w:spacing w:before="120" w:after="120" w:line="276" w:lineRule="auto"/>
        <w:ind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zlecenie przekazywania stypendium (informacje o koncie bankowym);</w:t>
      </w:r>
    </w:p>
    <w:p w:rsidR="00D06C76" w:rsidRPr="00D4013A" w:rsidRDefault="00D06C76" w:rsidP="006B185C">
      <w:pPr>
        <w:numPr>
          <w:ilvl w:val="0"/>
          <w:numId w:val="14"/>
        </w:numPr>
        <w:spacing w:before="120" w:after="120" w:line="276" w:lineRule="auto"/>
        <w:ind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kopię karty EKUZ lub równoważnego ubezpieczenia zdrowotnego;</w:t>
      </w:r>
    </w:p>
    <w:p w:rsidR="00D06C76" w:rsidRPr="00D4013A" w:rsidRDefault="00D06C76" w:rsidP="006B185C">
      <w:pPr>
        <w:numPr>
          <w:ilvl w:val="0"/>
          <w:numId w:val="14"/>
        </w:numPr>
        <w:spacing w:before="120" w:after="120" w:line="276" w:lineRule="auto"/>
        <w:ind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kopię polisy ubezpieczeniowej (NNW i OC w miejscu odbywania praktyki);</w:t>
      </w:r>
    </w:p>
    <w:p w:rsidR="00D06C76" w:rsidRPr="00D4013A" w:rsidRDefault="00D06C76" w:rsidP="006B185C">
      <w:pPr>
        <w:numPr>
          <w:ilvl w:val="0"/>
          <w:numId w:val="14"/>
        </w:numPr>
        <w:spacing w:before="120" w:after="120" w:line="276" w:lineRule="auto"/>
        <w:ind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umowę z Politechniką Lubelską o wypłatę stypendium.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Do momentu podpisania umowy z Politechniką Lubelską o wypłatę stypendium uczestnik jest jedynie wstępnie zakwalifikowanym kandydatem do stypendium programu Erasmus+.</w:t>
      </w:r>
    </w:p>
    <w:p w:rsidR="00D06C76" w:rsidRPr="00D4013A" w:rsidRDefault="00A662DA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>
        <w:t>Zaleca się aby n</w:t>
      </w:r>
      <w:r w:rsidR="00D06C76" w:rsidRPr="00D4013A">
        <w:t>ajpóźniej do dnia rozpoczęcia okresu mobilności</w:t>
      </w:r>
      <w:r w:rsidR="00D06C76" w:rsidRPr="00D4013A">
        <w:rPr>
          <w:rFonts w:eastAsia="Calibri"/>
          <w:lang w:eastAsia="en-US"/>
        </w:rPr>
        <w:t xml:space="preserve"> zakwalifikowany uczestnik posiadający polskie obywatelstwo </w:t>
      </w:r>
      <w:r>
        <w:rPr>
          <w:rFonts w:eastAsia="Calibri"/>
          <w:lang w:eastAsia="en-US"/>
        </w:rPr>
        <w:t>zarejestrował</w:t>
      </w:r>
      <w:r w:rsidR="00D06C76" w:rsidRPr="00D4013A">
        <w:rPr>
          <w:rFonts w:eastAsia="Calibri"/>
          <w:lang w:eastAsia="en-US"/>
        </w:rPr>
        <w:t xml:space="preserve"> się w serwisie Odyseusz </w:t>
      </w:r>
      <w:r w:rsidR="00D06C76" w:rsidRPr="00D4013A">
        <w:t>prowadzonym przez Ministerstwo Spraw Zagranicznych.</w:t>
      </w:r>
      <w:r w:rsidR="00D06C76">
        <w:t xml:space="preserve"> 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Uczestnik realizujący wyjazd na praktykę studencką musi posiadać status studenta PL w trakcie całego pobytu na praktyce.</w:t>
      </w:r>
    </w:p>
    <w:p w:rsidR="00D06C76" w:rsidRDefault="0050741F" w:rsidP="0050741F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Uczestnik zakwalifikowany do wyjazdu na praktykę </w:t>
      </w:r>
      <w:r w:rsidRPr="0050741F">
        <w:rPr>
          <w:rFonts w:eastAsia="Calibri"/>
          <w:lang w:eastAsia="en-US"/>
        </w:rPr>
        <w:t>w ramach programu Erasmus+ jest zobowiązany do wypełnienia na platformie internetowej OLS (</w:t>
      </w:r>
      <w:r w:rsidRPr="0050741F">
        <w:rPr>
          <w:rFonts w:eastAsia="Calibri"/>
          <w:i/>
          <w:lang w:eastAsia="en-US"/>
        </w:rPr>
        <w:t xml:space="preserve">Online </w:t>
      </w:r>
      <w:proofErr w:type="spellStart"/>
      <w:r w:rsidRPr="0050741F">
        <w:rPr>
          <w:rFonts w:eastAsia="Calibri"/>
          <w:i/>
          <w:lang w:eastAsia="en-US"/>
        </w:rPr>
        <w:t>Linguistic</w:t>
      </w:r>
      <w:proofErr w:type="spellEnd"/>
      <w:r w:rsidRPr="0050741F">
        <w:rPr>
          <w:rFonts w:eastAsia="Calibri"/>
          <w:i/>
          <w:lang w:eastAsia="en-US"/>
        </w:rPr>
        <w:t xml:space="preserve"> </w:t>
      </w:r>
      <w:proofErr w:type="spellStart"/>
      <w:r w:rsidRPr="0050741F">
        <w:rPr>
          <w:rFonts w:eastAsia="Calibri"/>
          <w:i/>
          <w:lang w:eastAsia="en-US"/>
        </w:rPr>
        <w:t>Support</w:t>
      </w:r>
      <w:proofErr w:type="spellEnd"/>
      <w:r w:rsidRPr="0050741F">
        <w:rPr>
          <w:rFonts w:eastAsia="Calibri"/>
          <w:lang w:eastAsia="en-US"/>
        </w:rPr>
        <w:t>) dwóch testów biegłości językowej – przed i po zakończeniu mobilności</w:t>
      </w:r>
      <w:r>
        <w:rPr>
          <w:rFonts w:eastAsia="Calibri"/>
          <w:lang w:eastAsia="en-US"/>
        </w:rPr>
        <w:t xml:space="preserve"> </w:t>
      </w:r>
      <w:r w:rsidRPr="00D4013A">
        <w:rPr>
          <w:rFonts w:eastAsia="Calibri"/>
          <w:lang w:eastAsia="en-US"/>
        </w:rPr>
        <w:t xml:space="preserve">(dotyczy języków dostępnych </w:t>
      </w:r>
      <w:r>
        <w:rPr>
          <w:rFonts w:eastAsia="Calibri"/>
          <w:lang w:eastAsia="en-US"/>
        </w:rPr>
        <w:t>na platformie OLS</w:t>
      </w:r>
      <w:r w:rsidRPr="00D4013A">
        <w:rPr>
          <w:rFonts w:eastAsia="Calibri"/>
          <w:lang w:eastAsia="en-US"/>
        </w:rPr>
        <w:t xml:space="preserve"> na dzień złożenia przez uczestnika LA w BKM).</w:t>
      </w:r>
      <w:r w:rsidRPr="0050741F">
        <w:rPr>
          <w:rFonts w:eastAsia="Calibri"/>
          <w:lang w:eastAsia="en-US"/>
        </w:rPr>
        <w:t xml:space="preserve"> Wypełnienie testu jest warunkiem koniecznym do pozytywnego rozliczenia </w:t>
      </w:r>
      <w:r>
        <w:rPr>
          <w:rFonts w:eastAsia="Calibri"/>
          <w:lang w:eastAsia="en-US"/>
        </w:rPr>
        <w:t>uczestnika</w:t>
      </w:r>
      <w:r w:rsidRPr="0050741F">
        <w:rPr>
          <w:rFonts w:eastAsia="Calibri"/>
          <w:lang w:eastAsia="en-US"/>
        </w:rPr>
        <w:t xml:space="preserve"> z wyjazdu. Z testu zwolnione są osoby, dla których dany język jest językiem ojczystym (</w:t>
      </w:r>
      <w:r w:rsidRPr="0050741F">
        <w:rPr>
          <w:rFonts w:eastAsia="Calibri"/>
          <w:i/>
          <w:lang w:eastAsia="en-US"/>
        </w:rPr>
        <w:t>Native speaker</w:t>
      </w:r>
      <w:r w:rsidRPr="0050741F">
        <w:rPr>
          <w:rFonts w:eastAsia="Calibri"/>
          <w:lang w:eastAsia="en-US"/>
        </w:rPr>
        <w:t xml:space="preserve">). Z drugiego testu biegłości językowej, po zakończeniu mobilności, zwolnione są osoby, które na pierwszym teście uzyskały wynik C2. </w:t>
      </w:r>
    </w:p>
    <w:p w:rsidR="00D06C76" w:rsidRPr="008A49FB" w:rsidRDefault="00D06C76" w:rsidP="008A49FB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Uczestnik</w:t>
      </w:r>
      <w:r w:rsidRPr="000078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zakwalifikowany na wyjazd, który wypełnił test językowy, będzie</w:t>
      </w:r>
      <w:r w:rsidRPr="00007856">
        <w:rPr>
          <w:rFonts w:eastAsia="Calibri"/>
          <w:lang w:eastAsia="en-US"/>
        </w:rPr>
        <w:t xml:space="preserve"> uczestniczyć w kursie językowym w wymiarze </w:t>
      </w:r>
      <w:r>
        <w:rPr>
          <w:rFonts w:eastAsia="Calibri"/>
          <w:lang w:eastAsia="en-US"/>
        </w:rPr>
        <w:t>3</w:t>
      </w:r>
      <w:r w:rsidRPr="00007856">
        <w:rPr>
          <w:rFonts w:eastAsia="Calibri"/>
          <w:lang w:eastAsia="en-US"/>
        </w:rPr>
        <w:t xml:space="preserve"> godzin zegarowych </w:t>
      </w:r>
      <w:r>
        <w:rPr>
          <w:rFonts w:eastAsia="Calibri"/>
          <w:lang w:eastAsia="en-US"/>
        </w:rPr>
        <w:t>na każdy miesiąc pobytu</w:t>
      </w:r>
      <w:r w:rsidRPr="00007856">
        <w:rPr>
          <w:rFonts w:eastAsia="Calibri"/>
          <w:lang w:eastAsia="en-US"/>
        </w:rPr>
        <w:t xml:space="preserve">, pod warunkiem otrzymania </w:t>
      </w:r>
      <w:r>
        <w:rPr>
          <w:rFonts w:eastAsia="Calibri"/>
          <w:lang w:eastAsia="en-US"/>
        </w:rPr>
        <w:t xml:space="preserve">przez Politechnikę Lubelską </w:t>
      </w:r>
      <w:r w:rsidRPr="00007856">
        <w:rPr>
          <w:rFonts w:eastAsia="Calibri"/>
          <w:lang w:eastAsia="en-US"/>
        </w:rPr>
        <w:t xml:space="preserve">odpowiedniej liczby licencji od Fundacji Rozwoju Systemu Edukacji. </w:t>
      </w:r>
      <w:r w:rsidR="008A49FB" w:rsidRPr="008A49FB">
        <w:rPr>
          <w:rFonts w:eastAsia="Calibri"/>
          <w:lang w:eastAsia="en-US"/>
        </w:rPr>
        <w:t>Z uczestnictwa w kursie językowym w trakcie pobytu zwolnione są osoby, które na pierwszym teście językowym uzyskały wynik C1 i wyższy.</w:t>
      </w:r>
    </w:p>
    <w:p w:rsidR="008A49FB" w:rsidRDefault="00D06C76" w:rsidP="008A49FB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007856">
        <w:rPr>
          <w:rFonts w:eastAsia="Calibri"/>
          <w:lang w:eastAsia="en-US"/>
        </w:rPr>
        <w:t xml:space="preserve">Uczestnik, który na </w:t>
      </w:r>
      <w:r>
        <w:rPr>
          <w:rFonts w:eastAsia="Calibri"/>
          <w:lang w:eastAsia="en-US"/>
        </w:rPr>
        <w:t>teście biegłości językowej na</w:t>
      </w:r>
      <w:r w:rsidRPr="00007856">
        <w:rPr>
          <w:rFonts w:eastAsia="Calibri"/>
          <w:lang w:eastAsia="en-US"/>
        </w:rPr>
        <w:t xml:space="preserve"> platformie OLS </w:t>
      </w:r>
      <w:r>
        <w:rPr>
          <w:rFonts w:eastAsia="Calibri"/>
          <w:lang w:eastAsia="en-US"/>
        </w:rPr>
        <w:t>uzyska</w:t>
      </w:r>
      <w:r w:rsidRPr="00007856">
        <w:rPr>
          <w:rFonts w:eastAsia="Calibri"/>
          <w:lang w:eastAsia="en-US"/>
        </w:rPr>
        <w:t xml:space="preserve"> poziom średniozaawansowany lub wyższy, tj. B2 lub wyższy, może otrzymać li</w:t>
      </w:r>
      <w:r>
        <w:rPr>
          <w:rFonts w:eastAsia="Calibri"/>
          <w:lang w:eastAsia="en-US"/>
        </w:rPr>
        <w:t>cencję na kurs języka kraju do którego</w:t>
      </w:r>
      <w:r w:rsidRPr="00007856">
        <w:rPr>
          <w:rFonts w:eastAsia="Calibri"/>
          <w:lang w:eastAsia="en-US"/>
        </w:rPr>
        <w:t xml:space="preserve"> wyjeżdża na</w:t>
      </w:r>
      <w:r>
        <w:rPr>
          <w:rFonts w:eastAsia="Calibri"/>
          <w:lang w:eastAsia="en-US"/>
        </w:rPr>
        <w:t xml:space="preserve"> praktykę</w:t>
      </w:r>
      <w:r w:rsidRPr="00007856">
        <w:rPr>
          <w:rFonts w:eastAsia="Calibri"/>
          <w:lang w:eastAsia="en-US"/>
        </w:rPr>
        <w:t xml:space="preserve">, pod warunkiem dostępności kursu dla tego języka. </w:t>
      </w:r>
    </w:p>
    <w:p w:rsidR="00D06C76" w:rsidRPr="008A49FB" w:rsidRDefault="008A49FB" w:rsidP="008A49FB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8A49FB">
        <w:rPr>
          <w:rFonts w:eastAsia="Calibri"/>
          <w:lang w:eastAsia="en-US"/>
        </w:rPr>
        <w:lastRenderedPageBreak/>
        <w:t>Wprowa</w:t>
      </w:r>
      <w:r>
        <w:rPr>
          <w:rFonts w:eastAsia="Calibri"/>
          <w:lang w:eastAsia="en-US"/>
        </w:rPr>
        <w:t>dzenie ewentualnych zmian do LAT</w:t>
      </w:r>
      <w:r w:rsidRPr="008A49FB">
        <w:rPr>
          <w:rFonts w:eastAsia="Calibri"/>
          <w:lang w:eastAsia="en-US"/>
        </w:rPr>
        <w:t xml:space="preserve"> (część </w:t>
      </w:r>
      <w:proofErr w:type="spellStart"/>
      <w:r w:rsidRPr="008A49FB">
        <w:rPr>
          <w:rFonts w:eastAsia="Calibri"/>
          <w:i/>
          <w:lang w:eastAsia="en-US"/>
        </w:rPr>
        <w:t>During</w:t>
      </w:r>
      <w:proofErr w:type="spellEnd"/>
      <w:r w:rsidRPr="008A49FB">
        <w:rPr>
          <w:rFonts w:eastAsia="Calibri"/>
          <w:i/>
          <w:lang w:eastAsia="en-US"/>
        </w:rPr>
        <w:t xml:space="preserve"> the </w:t>
      </w:r>
      <w:proofErr w:type="spellStart"/>
      <w:r w:rsidRPr="008A49FB">
        <w:rPr>
          <w:rFonts w:eastAsia="Calibri"/>
          <w:i/>
          <w:lang w:eastAsia="en-US"/>
        </w:rPr>
        <w:t>Mobility</w:t>
      </w:r>
      <w:proofErr w:type="spellEnd"/>
      <w:r w:rsidRPr="008A49FB">
        <w:rPr>
          <w:rFonts w:eastAsia="Calibri"/>
          <w:lang w:eastAsia="en-US"/>
        </w:rPr>
        <w:t>) mus</w:t>
      </w:r>
      <w:r>
        <w:rPr>
          <w:rFonts w:eastAsia="Calibri"/>
          <w:lang w:eastAsia="en-US"/>
        </w:rPr>
        <w:t>i zostać zakończone w terminie 4</w:t>
      </w:r>
      <w:r w:rsidRPr="008A49FB">
        <w:rPr>
          <w:rFonts w:eastAsia="Calibri"/>
          <w:lang w:eastAsia="en-US"/>
        </w:rPr>
        <w:t xml:space="preserve"> tygodni od daty rozpoczęcia </w:t>
      </w:r>
      <w:r>
        <w:rPr>
          <w:rFonts w:eastAsia="Calibri"/>
          <w:lang w:eastAsia="en-US"/>
        </w:rPr>
        <w:t>praktyki</w:t>
      </w:r>
      <w:r w:rsidRPr="008A49FB">
        <w:rPr>
          <w:rFonts w:eastAsia="Calibri"/>
          <w:lang w:eastAsia="en-US"/>
        </w:rPr>
        <w:t>. Zmiany w LA</w:t>
      </w:r>
      <w:r>
        <w:rPr>
          <w:rFonts w:eastAsia="Calibri"/>
          <w:lang w:eastAsia="en-US"/>
        </w:rPr>
        <w:t>T</w:t>
      </w:r>
      <w:r w:rsidRPr="008A49FB">
        <w:rPr>
          <w:rFonts w:eastAsia="Calibri"/>
          <w:lang w:eastAsia="en-US"/>
        </w:rPr>
        <w:t xml:space="preserve"> muszą być podpisane przez </w:t>
      </w:r>
      <w:r>
        <w:rPr>
          <w:rFonts w:eastAsia="Calibri"/>
          <w:lang w:eastAsia="en-US"/>
        </w:rPr>
        <w:t>wszystkie</w:t>
      </w:r>
      <w:r w:rsidRPr="008A49FB">
        <w:rPr>
          <w:rFonts w:eastAsia="Calibri"/>
          <w:lang w:eastAsia="en-US"/>
        </w:rPr>
        <w:t xml:space="preserve"> strony porozumienia. </w:t>
      </w:r>
      <w:r w:rsidR="00D06C76" w:rsidRPr="008A49FB">
        <w:rPr>
          <w:rFonts w:eastAsia="Calibri"/>
          <w:lang w:eastAsia="en-US"/>
        </w:rPr>
        <w:t xml:space="preserve">   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 xml:space="preserve">Wniosek o przedłużenie okresu pobytu powinien być zgłoszony przez uczestnika do Politechniki Lubelskiej nie później niż na 1 miesiąc przed </w:t>
      </w:r>
      <w:r>
        <w:rPr>
          <w:rFonts w:eastAsia="Calibri"/>
          <w:lang w:eastAsia="en-US"/>
        </w:rPr>
        <w:t>pierwotnie zaplanowanym zakończeniem praktyki</w:t>
      </w:r>
      <w:r w:rsidRPr="00D4013A">
        <w:rPr>
          <w:rFonts w:eastAsia="Calibri"/>
          <w:lang w:eastAsia="en-US"/>
        </w:rPr>
        <w:t>. Decyzję o przedłużeniu pobytu w instytucji przyjmującej</w:t>
      </w:r>
      <w:r>
        <w:rPr>
          <w:rFonts w:eastAsia="Calibri"/>
          <w:lang w:eastAsia="en-US"/>
        </w:rPr>
        <w:t xml:space="preserve"> podejmuje </w:t>
      </w:r>
      <w:r w:rsidRPr="00D4013A">
        <w:rPr>
          <w:rFonts w:eastAsia="Calibri"/>
          <w:lang w:eastAsia="en-US"/>
        </w:rPr>
        <w:t>prodziekan ds. studenckich odpowiedniego wydziału po uzyskaniu akcep</w:t>
      </w:r>
      <w:r w:rsidR="00A662DA">
        <w:rPr>
          <w:rFonts w:eastAsia="Calibri"/>
          <w:lang w:eastAsia="en-US"/>
        </w:rPr>
        <w:t xml:space="preserve">tacji instytucji przyjmującej. </w:t>
      </w:r>
      <w:r w:rsidRPr="00D4013A">
        <w:rPr>
          <w:rFonts w:eastAsia="Calibri"/>
          <w:lang w:eastAsia="en-US"/>
        </w:rPr>
        <w:t xml:space="preserve">Decyzja taka powinna być podjęta co najmniej na trzy tygodnie przed upływem pierwotnie planowanego okresu pobytu. 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Uczestnik, który otrzyma zgodę wydziału na przedłużenie pobytu w instytucji przyjmującej niezwłocznie składa w BKM:</w:t>
      </w:r>
    </w:p>
    <w:p w:rsidR="00D06C76" w:rsidRPr="00D4013A" w:rsidRDefault="00D06C76" w:rsidP="006B185C">
      <w:pPr>
        <w:numPr>
          <w:ilvl w:val="0"/>
          <w:numId w:val="15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aneks do umowy z Politechniką Lubelską;</w:t>
      </w:r>
    </w:p>
    <w:p w:rsidR="00D06C76" w:rsidRPr="00D4013A" w:rsidRDefault="00D06C76" w:rsidP="006B185C">
      <w:pPr>
        <w:numPr>
          <w:ilvl w:val="0"/>
          <w:numId w:val="15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List Intencyjny (</w:t>
      </w:r>
      <w:proofErr w:type="spellStart"/>
      <w:r w:rsidRPr="00D4013A">
        <w:rPr>
          <w:rFonts w:eastAsia="Calibri"/>
          <w:i/>
          <w:lang w:eastAsia="en-US"/>
        </w:rPr>
        <w:t>Letter</w:t>
      </w:r>
      <w:proofErr w:type="spellEnd"/>
      <w:r w:rsidRPr="00D4013A">
        <w:rPr>
          <w:rFonts w:eastAsia="Calibri"/>
          <w:i/>
          <w:lang w:eastAsia="en-US"/>
        </w:rPr>
        <w:t xml:space="preserve"> of </w:t>
      </w:r>
      <w:proofErr w:type="spellStart"/>
      <w:r w:rsidRPr="00D4013A">
        <w:rPr>
          <w:rFonts w:eastAsia="Calibri"/>
          <w:i/>
          <w:lang w:eastAsia="en-US"/>
        </w:rPr>
        <w:t>Intent</w:t>
      </w:r>
      <w:proofErr w:type="spellEnd"/>
      <w:r w:rsidRPr="00D4013A">
        <w:rPr>
          <w:rFonts w:eastAsia="Calibri"/>
          <w:lang w:eastAsia="en-US"/>
        </w:rPr>
        <w:t>) wystawiony przez instytucję przyjmującą potwierdzający zaakceptowanie na dodatkowy okres;</w:t>
      </w:r>
    </w:p>
    <w:p w:rsidR="00D06C76" w:rsidRPr="00D4013A" w:rsidRDefault="00D06C76" w:rsidP="006B185C">
      <w:pPr>
        <w:numPr>
          <w:ilvl w:val="0"/>
          <w:numId w:val="15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 xml:space="preserve">zmiany do LA (część </w:t>
      </w:r>
      <w:proofErr w:type="spellStart"/>
      <w:r w:rsidRPr="00D4013A">
        <w:rPr>
          <w:rFonts w:eastAsia="Calibri"/>
          <w:i/>
          <w:lang w:eastAsia="en-US"/>
        </w:rPr>
        <w:t>During</w:t>
      </w:r>
      <w:proofErr w:type="spellEnd"/>
      <w:r w:rsidRPr="00D4013A">
        <w:rPr>
          <w:rFonts w:eastAsia="Calibri"/>
          <w:i/>
          <w:lang w:eastAsia="en-US"/>
        </w:rPr>
        <w:t xml:space="preserve"> </w:t>
      </w:r>
      <w:r w:rsidR="008A49FB">
        <w:rPr>
          <w:rFonts w:eastAsia="Calibri"/>
          <w:i/>
          <w:lang w:eastAsia="en-US"/>
        </w:rPr>
        <w:t xml:space="preserve">the </w:t>
      </w:r>
      <w:proofErr w:type="spellStart"/>
      <w:r w:rsidRPr="00D4013A">
        <w:rPr>
          <w:rFonts w:eastAsia="Calibri"/>
          <w:i/>
          <w:lang w:eastAsia="en-US"/>
        </w:rPr>
        <w:t>Mobility</w:t>
      </w:r>
      <w:proofErr w:type="spellEnd"/>
      <w:r w:rsidRPr="00D4013A">
        <w:rPr>
          <w:rFonts w:eastAsia="Calibri"/>
          <w:lang w:eastAsia="en-US"/>
        </w:rPr>
        <w:t>);</w:t>
      </w:r>
    </w:p>
    <w:p w:rsidR="00D06C76" w:rsidRPr="00D4013A" w:rsidRDefault="00D06C76" w:rsidP="006B185C">
      <w:pPr>
        <w:numPr>
          <w:ilvl w:val="0"/>
          <w:numId w:val="15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zaświadczenie z dziekanatu o statusie studenta (dotyczy praktyk studenckich);</w:t>
      </w:r>
    </w:p>
    <w:p w:rsidR="00D06C76" w:rsidRPr="00D4013A" w:rsidRDefault="00D06C76" w:rsidP="006B185C">
      <w:pPr>
        <w:numPr>
          <w:ilvl w:val="0"/>
          <w:numId w:val="15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zlecenie przekazywania stypendium (informację o koncie bankowym);</w:t>
      </w:r>
    </w:p>
    <w:p w:rsidR="00D06C76" w:rsidRPr="00D4013A" w:rsidRDefault="00D06C76" w:rsidP="006B185C">
      <w:pPr>
        <w:numPr>
          <w:ilvl w:val="0"/>
          <w:numId w:val="15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kopię karty EKUZ lub równoważnego ubezpieczenia zdrowotnego obejmującego okres przedłużenia;</w:t>
      </w:r>
    </w:p>
    <w:p w:rsidR="00D06C76" w:rsidRPr="00A662DA" w:rsidRDefault="00D06C76" w:rsidP="006B185C">
      <w:pPr>
        <w:numPr>
          <w:ilvl w:val="0"/>
          <w:numId w:val="15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kopię polisy ubezpieczeniowej (NNW i OC w miejscu odbywania praktyki) obejmującej okres przedłużenia</w:t>
      </w:r>
      <w:r w:rsidRPr="00A662DA">
        <w:rPr>
          <w:rFonts w:eastAsia="Calibri"/>
          <w:lang w:eastAsia="en-US"/>
        </w:rPr>
        <w:t>.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 xml:space="preserve">Zasady finansowania przedłużonych pobytów są dostępne na stronie internetowej BKM i stosowane jednakowo w stosunku do wszystkich uczestników, którzy otrzymują stypendium. 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 xml:space="preserve">W okresie pobierania stypendium programu Erasmus+ uczestnik nie może otrzymywać dofinansowania na ten sam cel pochodzącego z innych funduszy Unii Europejskiej. 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 xml:space="preserve">Po powrocie uczestnik składa w BKM </w:t>
      </w:r>
      <w:r w:rsidR="00A662DA">
        <w:rPr>
          <w:rFonts w:eastAsia="Calibri"/>
          <w:lang w:eastAsia="en-US"/>
        </w:rPr>
        <w:t>oryginał potwierdzenia</w:t>
      </w:r>
      <w:r w:rsidRPr="00D4013A">
        <w:rPr>
          <w:rFonts w:eastAsia="Calibri"/>
          <w:lang w:eastAsia="en-US"/>
        </w:rPr>
        <w:t xml:space="preserve"> długości pobytu w instytucji przyjmującej np. </w:t>
      </w:r>
      <w:proofErr w:type="spellStart"/>
      <w:r w:rsidRPr="00D4013A">
        <w:rPr>
          <w:rFonts w:eastAsia="Calibri"/>
          <w:i/>
          <w:lang w:eastAsia="en-US"/>
        </w:rPr>
        <w:t>Confirmation</w:t>
      </w:r>
      <w:proofErr w:type="spellEnd"/>
      <w:r w:rsidRPr="00D4013A">
        <w:rPr>
          <w:rFonts w:eastAsia="Calibri"/>
          <w:i/>
          <w:lang w:eastAsia="en-US"/>
        </w:rPr>
        <w:t xml:space="preserve"> of </w:t>
      </w:r>
      <w:proofErr w:type="spellStart"/>
      <w:r w:rsidRPr="00D4013A">
        <w:rPr>
          <w:rFonts w:eastAsia="Calibri"/>
          <w:i/>
          <w:lang w:eastAsia="en-US"/>
        </w:rPr>
        <w:t>Traineeship</w:t>
      </w:r>
      <w:proofErr w:type="spellEnd"/>
      <w:r w:rsidRPr="00D4013A">
        <w:rPr>
          <w:rFonts w:eastAsia="Calibri"/>
          <w:i/>
          <w:lang w:eastAsia="en-US"/>
        </w:rPr>
        <w:t xml:space="preserve"> Period</w:t>
      </w:r>
      <w:r w:rsidRPr="00D4013A">
        <w:rPr>
          <w:rFonts w:eastAsia="Calibri"/>
          <w:lang w:eastAsia="en-US"/>
        </w:rPr>
        <w:t>, ostateczną wersję LA wraz z potwierdzeniem zrealizowania założeń praktyki (LA część</w:t>
      </w:r>
      <w:r w:rsidRPr="00D4013A">
        <w:rPr>
          <w:rFonts w:eastAsia="Calibri"/>
          <w:i/>
          <w:lang w:eastAsia="en-US"/>
        </w:rPr>
        <w:t xml:space="preserve"> </w:t>
      </w:r>
      <w:proofErr w:type="spellStart"/>
      <w:r w:rsidRPr="00D4013A">
        <w:rPr>
          <w:rFonts w:eastAsia="Calibri"/>
          <w:i/>
          <w:lang w:eastAsia="en-US"/>
        </w:rPr>
        <w:t>Atfer</w:t>
      </w:r>
      <w:proofErr w:type="spellEnd"/>
      <w:r w:rsidRPr="00D4013A">
        <w:rPr>
          <w:rFonts w:eastAsia="Calibri"/>
          <w:i/>
          <w:lang w:eastAsia="en-US"/>
        </w:rPr>
        <w:t xml:space="preserve"> </w:t>
      </w:r>
      <w:proofErr w:type="spellStart"/>
      <w:r w:rsidRPr="00D4013A">
        <w:rPr>
          <w:rFonts w:eastAsia="Calibri"/>
          <w:i/>
          <w:lang w:eastAsia="en-US"/>
        </w:rPr>
        <w:t>Mobility</w:t>
      </w:r>
      <w:proofErr w:type="spellEnd"/>
      <w:r w:rsidRPr="00D4013A">
        <w:rPr>
          <w:rFonts w:eastAsia="Calibri"/>
          <w:lang w:eastAsia="en-US"/>
        </w:rPr>
        <w:t xml:space="preserve">). Uczestnik wypełnia również online </w:t>
      </w:r>
      <w:r>
        <w:rPr>
          <w:rFonts w:eastAsia="Calibri"/>
          <w:lang w:eastAsia="en-US"/>
        </w:rPr>
        <w:t>raport stypendysty dotyczący</w:t>
      </w:r>
      <w:r w:rsidRPr="00D4013A">
        <w:rPr>
          <w:rFonts w:eastAsia="Calibri"/>
          <w:lang w:eastAsia="en-US"/>
        </w:rPr>
        <w:t xml:space="preserve"> przebiegu praktyki oraz przesyła do BKM pocztą elektroniczną sprawozdanie z pobytu na praktyce. Uczestnik dokonuje finansowego i merytorycznego rozliczenia się z wyjazdu w ciągu </w:t>
      </w:r>
      <w:r w:rsidR="008A49FB">
        <w:rPr>
          <w:rFonts w:eastAsia="Calibri"/>
          <w:lang w:eastAsia="en-US"/>
        </w:rPr>
        <w:t>30 dni</w:t>
      </w:r>
      <w:r w:rsidRPr="00D4013A">
        <w:rPr>
          <w:rFonts w:eastAsia="Calibri"/>
          <w:lang w:eastAsia="en-US"/>
        </w:rPr>
        <w:t xml:space="preserve"> od zakończenia praktyki. </w:t>
      </w:r>
      <w:r>
        <w:rPr>
          <w:rFonts w:eastAsia="Calibri"/>
          <w:lang w:eastAsia="en-US"/>
        </w:rPr>
        <w:t>Termin rozliczenia z macierzystym wydziałem student ustala indywidualnie z prodziekanem ds. studenckich.</w:t>
      </w:r>
    </w:p>
    <w:p w:rsidR="00D06C76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>Ostateczne uregulowanie zobowiązań uczestnika, który zrealizował wyjazd na praktykę studencką, wobec Politechniki Lubelskiej jest potwierdzane podbiciem Karty Obiegowej w B</w:t>
      </w:r>
      <w:r>
        <w:rPr>
          <w:rFonts w:eastAsia="Calibri"/>
          <w:lang w:eastAsia="en-US"/>
        </w:rPr>
        <w:t>KM</w:t>
      </w:r>
      <w:r w:rsidRPr="00D4013A">
        <w:rPr>
          <w:rFonts w:eastAsia="Calibri"/>
          <w:lang w:eastAsia="en-US"/>
        </w:rPr>
        <w:t xml:space="preserve">. </w:t>
      </w:r>
    </w:p>
    <w:p w:rsidR="002C234D" w:rsidRPr="00D4013A" w:rsidRDefault="002C234D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Powyższe zasady stosuje się również do mobilności realizowanych w formie zdalnej/hybrydowej.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rPr>
          <w:rFonts w:eastAsia="Calibri"/>
          <w:lang w:eastAsia="en-US"/>
        </w:rPr>
        <w:t xml:space="preserve">Pozostałe zasady realizacji wyjazdów na praktyki w ramach programu </w:t>
      </w:r>
      <w:r>
        <w:rPr>
          <w:rFonts w:eastAsia="Calibri"/>
          <w:lang w:eastAsia="en-US"/>
        </w:rPr>
        <w:t>Erasmus+ w roku akademickim 20</w:t>
      </w:r>
      <w:r w:rsidR="009314A1">
        <w:rPr>
          <w:rFonts w:eastAsia="Calibri"/>
          <w:lang w:eastAsia="en-US"/>
        </w:rPr>
        <w:t>21</w:t>
      </w:r>
      <w:r w:rsidR="008A49FB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20</w:t>
      </w:r>
      <w:r w:rsidR="009314A1">
        <w:rPr>
          <w:rFonts w:eastAsia="Calibri"/>
          <w:lang w:eastAsia="en-US"/>
        </w:rPr>
        <w:t>22</w:t>
      </w:r>
      <w:r w:rsidRPr="00D4013A">
        <w:rPr>
          <w:rFonts w:eastAsia="Calibri"/>
          <w:lang w:eastAsia="en-US"/>
        </w:rPr>
        <w:t xml:space="preserve"> reguluje</w:t>
      </w:r>
      <w:r w:rsidRPr="00D4013A">
        <w:t xml:space="preserve"> Regulamin Studiów i Regulamin Studiów Doktoranckich oraz Zarządzenie Nr R-10/2016 z dnia 25 lutego 2016 r. w sprawie trybu kwalifikowania i kierowania studentów oraz uczestników studiów doktoranckich Politechniki Lubelskiej na wyjazdy do innej uczelni/instytucji w celu realizacji części studiów lub praktyki.</w:t>
      </w:r>
    </w:p>
    <w:p w:rsidR="00D06C76" w:rsidRPr="00D4013A" w:rsidRDefault="00D06C76" w:rsidP="006B185C">
      <w:pPr>
        <w:numPr>
          <w:ilvl w:val="0"/>
          <w:numId w:val="13"/>
        </w:num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D4013A">
        <w:t>Zasady realizacji wyjazdów na praktyki w ramach programu Erasmus+ mogą ulec nieznacznym zmianom w przypadku otrzymania przez Politechnikę Lubelską dodatkowych wytycznych Fundacji Rozwoju Systemu Edukacji.</w:t>
      </w:r>
    </w:p>
    <w:p w:rsidR="00FA070D" w:rsidRPr="00FA070D" w:rsidRDefault="00A662DA" w:rsidP="006B185C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</w:p>
    <w:sectPr w:rsidR="00FA070D" w:rsidRPr="00FA070D" w:rsidSect="00507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6B" w:rsidRDefault="00FE5F6B">
      <w:r>
        <w:separator/>
      </w:r>
    </w:p>
  </w:endnote>
  <w:endnote w:type="continuationSeparator" w:id="0">
    <w:p w:rsidR="00FE5F6B" w:rsidRDefault="00FE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B8" w:rsidRDefault="000C7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B8" w:rsidRDefault="000C78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B8" w:rsidRDefault="000C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6B" w:rsidRDefault="00FE5F6B">
      <w:r>
        <w:separator/>
      </w:r>
    </w:p>
  </w:footnote>
  <w:footnote w:type="continuationSeparator" w:id="0">
    <w:p w:rsidR="00FE5F6B" w:rsidRDefault="00FE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B8" w:rsidRDefault="000C78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B8" w:rsidRDefault="000C78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80" w:rsidRDefault="00BC32E5" w:rsidP="00EC3E31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154305</wp:posOffset>
          </wp:positionV>
          <wp:extent cx="800100" cy="800100"/>
          <wp:effectExtent l="0" t="0" r="0" b="0"/>
          <wp:wrapTight wrapText="bothSides">
            <wp:wrapPolygon edited="0">
              <wp:start x="6686" y="0"/>
              <wp:lineTo x="0" y="3086"/>
              <wp:lineTo x="0" y="13886"/>
              <wp:lineTo x="514" y="16971"/>
              <wp:lineTo x="5657" y="21086"/>
              <wp:lineTo x="6171" y="21086"/>
              <wp:lineTo x="14914" y="21086"/>
              <wp:lineTo x="15429" y="21086"/>
              <wp:lineTo x="20571" y="16971"/>
              <wp:lineTo x="21086" y="14400"/>
              <wp:lineTo x="21086" y="3086"/>
              <wp:lineTo x="14400" y="0"/>
              <wp:lineTo x="668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C50" w:rsidRPr="00EC3E31" w:rsidRDefault="00230D80" w:rsidP="00230D80">
    <w:pPr>
      <w:pStyle w:val="Nagwek"/>
      <w:spacing w:line="276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</w:t>
    </w:r>
    <w:r w:rsidR="00B31C50" w:rsidRPr="00EC3E31">
      <w:rPr>
        <w:b/>
        <w:sz w:val="32"/>
        <w:szCs w:val="32"/>
      </w:rPr>
      <w:t>P O L I T E C H N I K A   L U B E L S K A</w:t>
    </w:r>
  </w:p>
  <w:p w:rsidR="00B31C50" w:rsidRDefault="00B31C50" w:rsidP="00230D80">
    <w:pPr>
      <w:pStyle w:val="Nagwek"/>
      <w:spacing w:line="276" w:lineRule="auto"/>
      <w:jc w:val="center"/>
      <w:rPr>
        <w:b/>
        <w:sz w:val="6"/>
        <w:szCs w:val="6"/>
      </w:rPr>
    </w:pPr>
  </w:p>
  <w:p w:rsidR="00B31C50" w:rsidRDefault="00230D80" w:rsidP="00230D80">
    <w:pPr>
      <w:pStyle w:val="Nagwek"/>
      <w:spacing w:line="276" w:lineRule="auto"/>
      <w:jc w:val="center"/>
      <w:rPr>
        <w:b/>
        <w:sz w:val="28"/>
        <w:szCs w:val="28"/>
        <w:lang w:val="en-US"/>
      </w:rPr>
    </w:pPr>
    <w:r w:rsidRPr="00CE0677">
      <w:rPr>
        <w:b/>
        <w:sz w:val="28"/>
        <w:szCs w:val="28"/>
      </w:rPr>
      <w:t xml:space="preserve">    </w:t>
    </w:r>
    <w:r w:rsidR="00B31C50">
      <w:rPr>
        <w:b/>
        <w:sz w:val="28"/>
        <w:szCs w:val="28"/>
        <w:lang w:val="en-US"/>
      </w:rPr>
      <w:t>LUBLIN UNIVERSITY OF TECHNOLOGY</w:t>
    </w:r>
  </w:p>
  <w:p w:rsidR="009C02D7" w:rsidRPr="00C6483B" w:rsidRDefault="00230D80" w:rsidP="00230D80">
    <w:pPr>
      <w:pStyle w:val="Nagwek"/>
      <w:spacing w:line="276" w:lineRule="auto"/>
      <w:jc w:val="center"/>
      <w:rPr>
        <w:lang w:val="en-GB"/>
      </w:rPr>
    </w:pPr>
    <w:r w:rsidRPr="00C6483B">
      <w:rPr>
        <w:b/>
        <w:lang w:val="en-GB"/>
      </w:rPr>
      <w:t xml:space="preserve">  </w:t>
    </w:r>
  </w:p>
  <w:p w:rsidR="00B31C50" w:rsidRPr="00C6483B" w:rsidRDefault="00B31C50">
    <w:pPr>
      <w:pStyle w:val="Nagwek"/>
      <w:jc w:val="center"/>
      <w:rPr>
        <w:sz w:val="16"/>
        <w:szCs w:val="16"/>
        <w:lang w:val="en-GB"/>
      </w:rPr>
    </w:pPr>
  </w:p>
  <w:p w:rsidR="007F784F" w:rsidRPr="00C6483B" w:rsidRDefault="00B31C50">
    <w:pPr>
      <w:pStyle w:val="Nagwek"/>
      <w:jc w:val="center"/>
      <w:rPr>
        <w:lang w:val="en-GB"/>
      </w:rPr>
    </w:pPr>
    <w:r w:rsidRPr="00C6483B">
      <w:rPr>
        <w:lang w:val="en-GB"/>
      </w:rPr>
      <w:t xml:space="preserve">          </w:t>
    </w:r>
  </w:p>
  <w:p w:rsidR="009F007C" w:rsidRPr="009C02D7" w:rsidRDefault="00B31C50" w:rsidP="009C02D7">
    <w:pPr>
      <w:pStyle w:val="Nagwek"/>
      <w:tabs>
        <w:tab w:val="clear" w:pos="4536"/>
        <w:tab w:val="clear" w:pos="9072"/>
      </w:tabs>
      <w:rPr>
        <w:lang w:val="de-DE"/>
      </w:rPr>
    </w:pPr>
    <w:r w:rsidRPr="00C6483B">
      <w:rPr>
        <w:sz w:val="20"/>
        <w:szCs w:val="20"/>
        <w:lang w:val="en-GB"/>
      </w:rPr>
      <w:t xml:space="preserve">20-618 Lublin, ul. </w:t>
    </w:r>
    <w:r w:rsidRPr="00760914">
      <w:rPr>
        <w:sz w:val="20"/>
        <w:szCs w:val="20"/>
      </w:rPr>
      <w:t>Nadbystrzycka 38D</w:t>
    </w:r>
    <w:r w:rsidR="009C02D7">
      <w:t xml:space="preserve"> </w:t>
    </w:r>
    <w:r w:rsidR="009C02D7">
      <w:tab/>
      <w:t xml:space="preserve">          </w:t>
    </w:r>
    <w:r w:rsidR="00760914">
      <w:t xml:space="preserve">            </w:t>
    </w:r>
    <w:r w:rsidR="009C02D7">
      <w:rPr>
        <w:sz w:val="20"/>
        <w:szCs w:val="20"/>
        <w:lang w:val="de-DE"/>
      </w:rPr>
      <w:t xml:space="preserve">tel. (+ 48 81) 53 84 101, </w:t>
    </w:r>
    <w:proofErr w:type="spellStart"/>
    <w:r>
      <w:rPr>
        <w:sz w:val="20"/>
        <w:szCs w:val="20"/>
        <w:lang w:val="de-DE"/>
      </w:rPr>
      <w:t>e-mail</w:t>
    </w:r>
    <w:proofErr w:type="spellEnd"/>
    <w:r>
      <w:rPr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sz w:val="20"/>
          <w:szCs w:val="20"/>
          <w:lang w:val="de-DE"/>
        </w:rPr>
        <w:t>prorektor.rd@pollub.pl</w:t>
      </w:r>
    </w:hyperlink>
    <w:r>
      <w:rPr>
        <w:sz w:val="20"/>
        <w:szCs w:val="20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824"/>
    <w:multiLevelType w:val="hybridMultilevel"/>
    <w:tmpl w:val="0464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3ED"/>
    <w:multiLevelType w:val="hybridMultilevel"/>
    <w:tmpl w:val="88FC9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A5572"/>
    <w:multiLevelType w:val="hybridMultilevel"/>
    <w:tmpl w:val="89B8D4E6"/>
    <w:lvl w:ilvl="0" w:tplc="71FEBD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242E"/>
    <w:multiLevelType w:val="hybridMultilevel"/>
    <w:tmpl w:val="845E7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46570"/>
    <w:multiLevelType w:val="hybridMultilevel"/>
    <w:tmpl w:val="AB2E96FE"/>
    <w:lvl w:ilvl="0" w:tplc="351617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650A2"/>
    <w:multiLevelType w:val="hybridMultilevel"/>
    <w:tmpl w:val="3F1A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1497"/>
    <w:multiLevelType w:val="hybridMultilevel"/>
    <w:tmpl w:val="41584E3A"/>
    <w:lvl w:ilvl="0" w:tplc="2BD4CE08">
      <w:start w:val="1"/>
      <w:numFmt w:val="bullet"/>
      <w:pStyle w:val="Wypwydzia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21BF"/>
    <w:multiLevelType w:val="hybridMultilevel"/>
    <w:tmpl w:val="89B8D4E6"/>
    <w:lvl w:ilvl="0" w:tplc="71FEBD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0D8"/>
    <w:multiLevelType w:val="hybridMultilevel"/>
    <w:tmpl w:val="1EBC8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91CAB"/>
    <w:multiLevelType w:val="hybridMultilevel"/>
    <w:tmpl w:val="0394869A"/>
    <w:lvl w:ilvl="0" w:tplc="C1380F9A">
      <w:start w:val="1"/>
      <w:numFmt w:val="bullet"/>
      <w:lvlText w:val=""/>
      <w:lvlJc w:val="left"/>
      <w:pPr>
        <w:tabs>
          <w:tab w:val="num" w:pos="2907"/>
        </w:tabs>
        <w:ind w:left="290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B3483"/>
    <w:multiLevelType w:val="hybridMultilevel"/>
    <w:tmpl w:val="A3801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13854"/>
    <w:multiLevelType w:val="hybridMultilevel"/>
    <w:tmpl w:val="E040B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76115"/>
    <w:multiLevelType w:val="hybridMultilevel"/>
    <w:tmpl w:val="652498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AF19F2"/>
    <w:multiLevelType w:val="hybridMultilevel"/>
    <w:tmpl w:val="22987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BF4E6E"/>
    <w:multiLevelType w:val="hybridMultilevel"/>
    <w:tmpl w:val="493CE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4"/>
  </w:num>
  <w:num w:numId="5">
    <w:abstractNumId w:val="14"/>
  </w:num>
  <w:num w:numId="6">
    <w:abstractNumId w:val="1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ED"/>
    <w:rsid w:val="000078A0"/>
    <w:rsid w:val="000247E5"/>
    <w:rsid w:val="000658CA"/>
    <w:rsid w:val="0008115D"/>
    <w:rsid w:val="000A0C0B"/>
    <w:rsid w:val="000B7B1E"/>
    <w:rsid w:val="000C39B6"/>
    <w:rsid w:val="000C3D88"/>
    <w:rsid w:val="000C78B8"/>
    <w:rsid w:val="000D265F"/>
    <w:rsid w:val="000F02C3"/>
    <w:rsid w:val="000F09A6"/>
    <w:rsid w:val="00112DBA"/>
    <w:rsid w:val="001314B8"/>
    <w:rsid w:val="00173AF8"/>
    <w:rsid w:val="00183958"/>
    <w:rsid w:val="001862AE"/>
    <w:rsid w:val="001949F5"/>
    <w:rsid w:val="001A0AA0"/>
    <w:rsid w:val="001B1234"/>
    <w:rsid w:val="001E5898"/>
    <w:rsid w:val="001F11D6"/>
    <w:rsid w:val="0021184D"/>
    <w:rsid w:val="00230D80"/>
    <w:rsid w:val="00241DC0"/>
    <w:rsid w:val="00245869"/>
    <w:rsid w:val="00254BA6"/>
    <w:rsid w:val="00260477"/>
    <w:rsid w:val="00281CC6"/>
    <w:rsid w:val="0028652C"/>
    <w:rsid w:val="002C234D"/>
    <w:rsid w:val="00323B25"/>
    <w:rsid w:val="00326CF6"/>
    <w:rsid w:val="00336002"/>
    <w:rsid w:val="00395DE9"/>
    <w:rsid w:val="003B4657"/>
    <w:rsid w:val="003B4BD3"/>
    <w:rsid w:val="003B6DE3"/>
    <w:rsid w:val="003B7F33"/>
    <w:rsid w:val="003C1D2A"/>
    <w:rsid w:val="003D58C9"/>
    <w:rsid w:val="004077E1"/>
    <w:rsid w:val="0041047B"/>
    <w:rsid w:val="00415E37"/>
    <w:rsid w:val="004444B2"/>
    <w:rsid w:val="0044749D"/>
    <w:rsid w:val="00451D25"/>
    <w:rsid w:val="004E4F1B"/>
    <w:rsid w:val="004F2B0F"/>
    <w:rsid w:val="0050741F"/>
    <w:rsid w:val="0051483B"/>
    <w:rsid w:val="0057160A"/>
    <w:rsid w:val="005759EF"/>
    <w:rsid w:val="00585E5A"/>
    <w:rsid w:val="00591733"/>
    <w:rsid w:val="005A1430"/>
    <w:rsid w:val="005B0DB5"/>
    <w:rsid w:val="005B5A81"/>
    <w:rsid w:val="005C3023"/>
    <w:rsid w:val="005E2315"/>
    <w:rsid w:val="005E6B27"/>
    <w:rsid w:val="005F11B9"/>
    <w:rsid w:val="006226BE"/>
    <w:rsid w:val="00643EB0"/>
    <w:rsid w:val="00650DAE"/>
    <w:rsid w:val="00661B7E"/>
    <w:rsid w:val="006828FD"/>
    <w:rsid w:val="006B185C"/>
    <w:rsid w:val="006D3813"/>
    <w:rsid w:val="006E6CC2"/>
    <w:rsid w:val="007202BC"/>
    <w:rsid w:val="00754F6C"/>
    <w:rsid w:val="00757231"/>
    <w:rsid w:val="00760914"/>
    <w:rsid w:val="00771E90"/>
    <w:rsid w:val="00773889"/>
    <w:rsid w:val="00774AB9"/>
    <w:rsid w:val="007A018D"/>
    <w:rsid w:val="007A0BED"/>
    <w:rsid w:val="007A6077"/>
    <w:rsid w:val="007B6161"/>
    <w:rsid w:val="007C631B"/>
    <w:rsid w:val="007D3AF7"/>
    <w:rsid w:val="007F6E62"/>
    <w:rsid w:val="007F784F"/>
    <w:rsid w:val="00820668"/>
    <w:rsid w:val="008239D2"/>
    <w:rsid w:val="0082784E"/>
    <w:rsid w:val="00865C1B"/>
    <w:rsid w:val="008733EF"/>
    <w:rsid w:val="008A17F4"/>
    <w:rsid w:val="008A3886"/>
    <w:rsid w:val="008A49FB"/>
    <w:rsid w:val="008C7365"/>
    <w:rsid w:val="008D7B53"/>
    <w:rsid w:val="008F7A0D"/>
    <w:rsid w:val="0090138E"/>
    <w:rsid w:val="0090376C"/>
    <w:rsid w:val="00920FEB"/>
    <w:rsid w:val="009314A1"/>
    <w:rsid w:val="00944C2B"/>
    <w:rsid w:val="00952985"/>
    <w:rsid w:val="009644F0"/>
    <w:rsid w:val="00967F2B"/>
    <w:rsid w:val="009703C9"/>
    <w:rsid w:val="009741B0"/>
    <w:rsid w:val="009819C9"/>
    <w:rsid w:val="00996E64"/>
    <w:rsid w:val="009A3932"/>
    <w:rsid w:val="009C02D7"/>
    <w:rsid w:val="009C620D"/>
    <w:rsid w:val="009D4981"/>
    <w:rsid w:val="009F007C"/>
    <w:rsid w:val="00A0092E"/>
    <w:rsid w:val="00A5008E"/>
    <w:rsid w:val="00A53CF1"/>
    <w:rsid w:val="00A541CF"/>
    <w:rsid w:val="00A662DA"/>
    <w:rsid w:val="00A82C62"/>
    <w:rsid w:val="00AA0DA0"/>
    <w:rsid w:val="00AC444D"/>
    <w:rsid w:val="00AC5BCD"/>
    <w:rsid w:val="00AC79E1"/>
    <w:rsid w:val="00AE1CDD"/>
    <w:rsid w:val="00AF0B58"/>
    <w:rsid w:val="00AF0F98"/>
    <w:rsid w:val="00B11AC2"/>
    <w:rsid w:val="00B22322"/>
    <w:rsid w:val="00B22EEB"/>
    <w:rsid w:val="00B2531D"/>
    <w:rsid w:val="00B307C7"/>
    <w:rsid w:val="00B31C50"/>
    <w:rsid w:val="00B33A30"/>
    <w:rsid w:val="00B34AF2"/>
    <w:rsid w:val="00B6079D"/>
    <w:rsid w:val="00B63004"/>
    <w:rsid w:val="00B80C84"/>
    <w:rsid w:val="00B96629"/>
    <w:rsid w:val="00BA4FC3"/>
    <w:rsid w:val="00BA51DB"/>
    <w:rsid w:val="00BC32E5"/>
    <w:rsid w:val="00BF7D18"/>
    <w:rsid w:val="00C00236"/>
    <w:rsid w:val="00C22EC2"/>
    <w:rsid w:val="00C50EBA"/>
    <w:rsid w:val="00C51096"/>
    <w:rsid w:val="00C6276E"/>
    <w:rsid w:val="00C6483B"/>
    <w:rsid w:val="00CC2132"/>
    <w:rsid w:val="00CD1DCE"/>
    <w:rsid w:val="00CE0677"/>
    <w:rsid w:val="00CE536B"/>
    <w:rsid w:val="00CE71B0"/>
    <w:rsid w:val="00D06C76"/>
    <w:rsid w:val="00D544AA"/>
    <w:rsid w:val="00D614B4"/>
    <w:rsid w:val="00D67656"/>
    <w:rsid w:val="00DA15B3"/>
    <w:rsid w:val="00DA2FB7"/>
    <w:rsid w:val="00DF3E82"/>
    <w:rsid w:val="00DF4355"/>
    <w:rsid w:val="00E227F0"/>
    <w:rsid w:val="00E3023C"/>
    <w:rsid w:val="00E5339E"/>
    <w:rsid w:val="00E67F9A"/>
    <w:rsid w:val="00E8368A"/>
    <w:rsid w:val="00E90D03"/>
    <w:rsid w:val="00E93328"/>
    <w:rsid w:val="00EB6682"/>
    <w:rsid w:val="00EC3E31"/>
    <w:rsid w:val="00ED6D7E"/>
    <w:rsid w:val="00ED77C2"/>
    <w:rsid w:val="00EF1683"/>
    <w:rsid w:val="00F25DCD"/>
    <w:rsid w:val="00F31E17"/>
    <w:rsid w:val="00F454FF"/>
    <w:rsid w:val="00F54EDF"/>
    <w:rsid w:val="00F96FBD"/>
    <w:rsid w:val="00FA070D"/>
    <w:rsid w:val="00FB6A11"/>
    <w:rsid w:val="00FB7CB6"/>
    <w:rsid w:val="00FC4947"/>
    <w:rsid w:val="00FD7B91"/>
    <w:rsid w:val="00FE5F6B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654D2-0CE2-4A2B-94BA-9550C55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Book Antiqua" w:hAnsi="Book Antiqua"/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720" w:firstLine="528"/>
      <w:jc w:val="both"/>
      <w:outlineLvl w:val="4"/>
    </w:pPr>
    <w:rPr>
      <w:rFonts w:ascii="Book Antiqua" w:hAnsi="Book Antiqu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bCs/>
      <w:iCs/>
      <w:sz w:val="28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customStyle="1" w:styleId="Wypwydzia">
    <w:name w:val="Wyp wydział"/>
    <w:basedOn w:val="Normalny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FA070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8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30D80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E0677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F02C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43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rsid w:val="00643EB0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about-eu/institutions-bodies/index_pl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rektor.rd@pollub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210C-C7F8-47D6-B559-EC524F0D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Politechnika Lubelska</Company>
  <LinksUpToDate>false</LinksUpToDate>
  <CharactersWithSpaces>9419</CharactersWithSpaces>
  <SharedDoc>false</SharedDoc>
  <HLinks>
    <vt:vector size="12" baseType="variant"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http://europa.eu/about-eu/institutions-bodies/index_pl.htm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mailto:prorektor.rd@pollub.pl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Halina</dc:creator>
  <cp:keywords/>
  <cp:lastModifiedBy>Magda</cp:lastModifiedBy>
  <cp:revision>5</cp:revision>
  <cp:lastPrinted>2019-10-03T10:47:00Z</cp:lastPrinted>
  <dcterms:created xsi:type="dcterms:W3CDTF">2021-03-10T13:39:00Z</dcterms:created>
  <dcterms:modified xsi:type="dcterms:W3CDTF">2022-05-20T08:46:00Z</dcterms:modified>
</cp:coreProperties>
</file>